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41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8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675"/>
        <w:ind w:left="4500" w:right="0" w:firstLine="0"/>
      </w:pPr>
      <w:r>
        <w:rPr>
          <w:lang w:val="cs-CZ" w:eastAsia="cs-CZ" w:bidi="cs-CZ"/>
          <w:w w:val="100"/>
          <w:color w:val="000000"/>
          <w:position w:val="0"/>
        </w:rPr>
        <w:t>*)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647"/>
        <w:ind w:left="4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"'Adresa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200"/>
        <w:ind w:left="4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STAVEBNÍ POVOLENÍ K VODNÍM DÍLŮM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'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/>
        <w:ind w:left="326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15 vodního zákona]</w:t>
      </w:r>
      <w:bookmarkEnd w:id="1"/>
    </w:p>
    <w:p>
      <w:pPr>
        <w:pStyle w:val="Style15"/>
        <w:numPr>
          <w:ilvl w:val="0"/>
          <w:numId w:val="1"/>
        </w:numPr>
        <w:tabs>
          <w:tab w:pos="398" w:val="left"/>
        </w:tabs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7"/>
        <w:tabs>
          <w:tab w:leader="dot" w:pos="8648" w:val="left"/>
        </w:tabs>
        <w:widowControl w:val="0"/>
        <w:keepNext w:val="0"/>
        <w:keepLines w:val="0"/>
        <w:shd w:val="clear" w:color="auto" w:fill="auto"/>
        <w:bidi w:val="0"/>
        <w:spacing w:before="0" w:after="19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7"/>
        <w:tabs>
          <w:tab w:leader="dot" w:pos="7126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7"/>
        <w:tabs>
          <w:tab w:leader="dot" w:pos="47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7"/>
        <w:tabs>
          <w:tab w:leader="dot" w:pos="474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7"/>
        <w:tabs>
          <w:tab w:leader="dot" w:pos="4744" w:val="left"/>
        </w:tabs>
        <w:widowControl w:val="0"/>
        <w:keepNext w:val="0"/>
        <w:keepLines w:val="0"/>
        <w:shd w:val="clear" w:color="auto" w:fill="auto"/>
        <w:bidi w:val="0"/>
        <w:spacing w:before="0" w:after="185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16" w:line="278" w:lineRule="exact"/>
        <w:ind w:left="440" w:right="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2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17"/>
        <w:numPr>
          <w:ilvl w:val="0"/>
          <w:numId w:val="3"/>
        </w:numPr>
        <w:tabs>
          <w:tab w:pos="946" w:val="left"/>
        </w:tabs>
        <w:widowControl w:val="0"/>
        <w:keepNext w:val="0"/>
        <w:keepLines w:val="0"/>
        <w:shd w:val="clear" w:color="auto" w:fill="auto"/>
        <w:bidi w:val="0"/>
        <w:spacing w:before="0" w:after="85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7"/>
        <w:numPr>
          <w:ilvl w:val="0"/>
          <w:numId w:val="3"/>
        </w:numPr>
        <w:tabs>
          <w:tab w:pos="9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40" w:right="36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9" w:h="16834"/>
          <w:pgMar w:top="2189" w:left="2271" w:right="617" w:bottom="218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9"/>
        <w:numPr>
          <w:ilvl w:val="0"/>
          <w:numId w:val="1"/>
        </w:numPr>
        <w:tabs>
          <w:tab w:pos="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</w:t>
      </w:r>
    </w:p>
    <w:p>
      <w:pPr>
        <w:pStyle w:val="Style19"/>
        <w:numPr>
          <w:ilvl w:val="0"/>
          <w:numId w:val="1"/>
        </w:numPr>
        <w:tabs>
          <w:tab w:pos="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Účel stavby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31</w:t>
      </w:r>
    </w:p>
    <w:p>
      <w:pPr>
        <w:pStyle w:val="Style19"/>
        <w:numPr>
          <w:ilvl w:val="0"/>
          <w:numId w:val="1"/>
        </w:numPr>
        <w:tabs>
          <w:tab w:pos="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termín zahájení a dokončení stavby</w:t>
      </w:r>
    </w:p>
    <w:p>
      <w:pPr>
        <w:pStyle w:val="Style17"/>
        <w:numPr>
          <w:ilvl w:val="0"/>
          <w:numId w:val="5"/>
        </w:numPr>
        <w:tabs>
          <w:tab w:pos="750" w:val="left"/>
          <w:tab w:pos="2883" w:val="left"/>
          <w:tab w:leader="dot" w:pos="45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stavby</w:t>
        <w:tab/>
        <w:tab/>
      </w:r>
    </w:p>
    <w:p>
      <w:pPr>
        <w:pStyle w:val="Style17"/>
        <w:numPr>
          <w:ilvl w:val="0"/>
          <w:numId w:val="5"/>
        </w:numPr>
        <w:tabs>
          <w:tab w:pos="755" w:val="left"/>
          <w:tab w:leader="dot" w:pos="4542" w:val="left"/>
        </w:tabs>
        <w:widowControl w:val="0"/>
        <w:keepNext w:val="0"/>
        <w:keepLines w:val="0"/>
        <w:shd w:val="clear" w:color="auto" w:fill="auto"/>
        <w:bidi w:val="0"/>
        <w:spacing w:before="0" w:after="461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stavby </w:t>
        <w:tab/>
      </w:r>
    </w:p>
    <w:p>
      <w:pPr>
        <w:pStyle w:val="Style19"/>
        <w:numPr>
          <w:ilvl w:val="0"/>
          <w:numId w:val="1"/>
        </w:numPr>
        <w:tabs>
          <w:tab w:pos="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dočasné stavby</w:t>
      </w:r>
    </w:p>
    <w:p>
      <w:pPr>
        <w:pStyle w:val="Style17"/>
        <w:numPr>
          <w:ilvl w:val="0"/>
          <w:numId w:val="5"/>
        </w:numPr>
        <w:tabs>
          <w:tab w:pos="755" w:val="left"/>
          <w:tab w:pos="2883" w:val="left"/>
          <w:tab w:leader="dot" w:pos="5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trvání</w:t>
        <w:tab/>
        <w:tab/>
      </w:r>
    </w:p>
    <w:p>
      <w:pPr>
        <w:pStyle w:val="Style17"/>
        <w:numPr>
          <w:ilvl w:val="0"/>
          <w:numId w:val="5"/>
        </w:numPr>
        <w:tabs>
          <w:tab w:pos="760" w:val="left"/>
        </w:tabs>
        <w:widowControl w:val="0"/>
        <w:keepNext w:val="0"/>
        <w:keepLines w:val="0"/>
        <w:shd w:val="clear" w:color="auto" w:fill="auto"/>
        <w:bidi w:val="0"/>
        <w:spacing w:before="0" w:after="1901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úpravy pozemku po jejím odstranění</w:t>
      </w:r>
    </w:p>
    <w:p>
      <w:pPr>
        <w:pStyle w:val="Style19"/>
        <w:numPr>
          <w:ilvl w:val="0"/>
          <w:numId w:val="1"/>
        </w:numPr>
        <w:tabs>
          <w:tab w:pos="5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</w:t>
      </w:r>
    </w:p>
    <w:p>
      <w:pPr>
        <w:pStyle w:val="Style17"/>
        <w:tabs>
          <w:tab w:pos="5474" w:val="left"/>
          <w:tab w:leader="dot" w:pos="8434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7"/>
        <w:tabs>
          <w:tab w:pos="5474" w:val="left"/>
          <w:tab w:leader="dot" w:pos="8434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557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19"/>
        <w:ind w:left="440" w:right="0" w:firstLine="0"/>
      </w:pPr>
      <w:r>
        <w:rPr>
          <w:rStyle w:val="CharStyle21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žádost o stavební povolení týká </w:t>
      </w:r>
      <w:r>
        <w:rPr>
          <w:rStyle w:val="CharStyle21"/>
        </w:rPr>
        <w:t>vodního toku</w:t>
      </w:r>
    </w:p>
    <w:p>
      <w:pPr>
        <w:pStyle w:val="Style17"/>
        <w:tabs>
          <w:tab w:leader="dot" w:pos="6339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vodního toku </w:t>
        <w:tab/>
      </w:r>
    </w:p>
    <w:p>
      <w:pPr>
        <w:pStyle w:val="Style17"/>
        <w:tabs>
          <w:tab w:leader="dot" w:pos="6339" w:val="left"/>
        </w:tabs>
        <w:widowControl w:val="0"/>
        <w:keepNext w:val="0"/>
        <w:keepLines w:val="0"/>
        <w:shd w:val="clear" w:color="auto" w:fill="auto"/>
        <w:bidi w:val="0"/>
        <w:spacing w:before="0" w:after="388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22"/>
        <w:framePr w:w="86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7. Pozemky, </w:t>
      </w:r>
      <w:r>
        <w:rPr>
          <w:rStyle w:val="CharStyle24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výstavbu</w:t>
      </w:r>
    </w:p>
    <w:tbl>
      <w:tblPr>
        <w:tblOverlap w:val="never"/>
        <w:tblLayout w:type="fixed"/>
        <w:jc w:val="center"/>
      </w:tblPr>
      <w:tblGrid>
        <w:gridCol w:w="998"/>
        <w:gridCol w:w="1190"/>
        <w:gridCol w:w="1728"/>
        <w:gridCol w:w="4766"/>
      </w:tblGrid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8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8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200" w:right="0" w:firstLine="0"/>
            </w:pPr>
            <w:r>
              <w:rPr>
                <w:rStyle w:val="CharStyle30"/>
              </w:rPr>
              <w:t>Vlastník a jeho adresa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pare. 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68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4" w:lineRule="exact"/>
              <w:ind w:left="0" w:right="0" w:firstLine="0"/>
            </w:pPr>
            <w:r>
              <w:rPr>
                <w:rStyle w:val="CharStyle30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8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83" w:wrap="notBeside" w:vAnchor="text" w:hAnchor="text" w:xAlign="center" w:y="1"/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8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framePr w:w="86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4 se jejich seznam uvede v příloze žádosti:</w:t>
      </w:r>
      <w:r>
        <w:rPr>
          <w:rStyle w:val="CharStyle2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8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numPr>
          <w:ilvl w:val="0"/>
          <w:numId w:val="7"/>
        </w:numPr>
        <w:tabs>
          <w:tab w:pos="397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44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provedení záměru má být použit sousední pozemek </w:t>
      </w:r>
      <w:r>
        <w:rPr>
          <w:rStyle w:val="CharStyle31"/>
          <w:b w:val="0"/>
          <w:bCs w:val="0"/>
        </w:rPr>
        <w:t>(stavba) D ano □ ne</w:t>
      </w:r>
      <w:bookmarkEnd w:id="4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ano, je vyjádření vlastníka této nemovité věci připojeno v samostatné příloze.</w:t>
      </w:r>
    </w:p>
    <w:p>
      <w:pPr>
        <w:pStyle w:val="Style15"/>
        <w:numPr>
          <w:ilvl w:val="0"/>
          <w:numId w:val="7"/>
        </w:numPr>
        <w:tabs>
          <w:tab w:pos="397" w:val="left"/>
        </w:tabs>
        <w:widowControl w:val="0"/>
        <w:keepNext/>
        <w:keepLines/>
        <w:shd w:val="clear" w:color="auto" w:fill="auto"/>
        <w:bidi w:val="0"/>
        <w:jc w:val="left"/>
        <w:spacing w:before="0" w:after="35"/>
        <w:ind w:left="44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Zpracovatel projektové dokumentace</w:t>
      </w:r>
      <w:bookmarkEnd w:id="5"/>
    </w:p>
    <w:p>
      <w:pPr>
        <w:pStyle w:val="Style17"/>
        <w:tabs>
          <w:tab w:leader="dot" w:pos="8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7"/>
        <w:tabs>
          <w:tab w:leader="dot" w:pos="8304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7"/>
        <w:tabs>
          <w:tab w:leader="dot" w:pos="8304" w:val="left"/>
        </w:tabs>
        <w:widowControl w:val="0"/>
        <w:keepNext w:val="0"/>
        <w:keepLines w:val="0"/>
        <w:shd w:val="clear" w:color="auto" w:fill="auto"/>
        <w:bidi w:val="0"/>
        <w:spacing w:before="0" w:after="565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32"/>
        <w:numPr>
          <w:ilvl w:val="0"/>
          <w:numId w:val="7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rStyle w:val="CharStyle34"/>
          <w:i w:val="0"/>
          <w:iCs w:val="0"/>
        </w:rPr>
        <w:t xml:space="preserve">Zhotovitel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(je-li</w:t>
      </w:r>
      <w:r>
        <w:rPr>
          <w:rStyle w:val="CharStyle35"/>
          <w:i w:val="0"/>
          <w:iCs w:val="0"/>
        </w:rPr>
        <w:t xml:space="preserve"> 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době podání žádosti znám)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podnikatele</w:t>
      </w:r>
    </w:p>
    <w:p>
      <w:pPr>
        <w:pStyle w:val="Style17"/>
        <w:tabs>
          <w:tab w:leader="dot" w:pos="8606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32"/>
        <w:tabs>
          <w:tab w:leader="dot" w:pos="83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1"/>
        <w:ind w:left="440" w:right="0" w:firstLine="0"/>
      </w:pPr>
      <w:r>
        <w:rPr>
          <w:rStyle w:val="CharStyle35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(bylo-li přiděleno)</w:t>
      </w:r>
      <w:r>
        <w:rPr>
          <w:rStyle w:val="CharStyle35"/>
          <w:i w:val="0"/>
          <w:iCs w:val="0"/>
        </w:rPr>
        <w:t xml:space="preserve"> </w:t>
        <w:tab/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1089" w:line="245" w:lineRule="exact"/>
        <w:ind w:left="440" w:right="0"/>
      </w:pPr>
      <w:r>
        <w:rPr>
          <w:rStyle w:val="CharStyle34"/>
          <w:i w:val="0"/>
          <w:iCs w:val="0"/>
        </w:rPr>
        <w:t xml:space="preserve">11. Základní údaje o stavbě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(uvedení úplného výčtu staveb, o jejichž povolení je žádáno včetně základních technických parametrů - členěno podle stavebních objektů)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both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(Vpřípadě většího počtu údajů se údaje o stavbě uvedou v příloze žádosti.)</w:t>
      </w:r>
    </w:p>
    <w:p>
      <w:pPr>
        <w:pStyle w:val="Style17"/>
        <w:numPr>
          <w:ilvl w:val="0"/>
          <w:numId w:val="9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5"/>
        <w:ind w:left="440" w:right="0"/>
      </w:pPr>
      <w:r>
        <w:rPr>
          <w:rStyle w:val="CharStyle21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veřejnoprávní smlouva územní rozhodnutí nahrazující anebo</w:t>
      </w:r>
    </w:p>
    <w:p>
      <w:pPr>
        <w:pStyle w:val="Style19"/>
        <w:tabs>
          <w:tab w:leader="dot" w:pos="4947" w:val="left"/>
          <w:tab w:leader="dot" w:pos="86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územní souhlas </w:t>
      </w:r>
      <w:r>
        <w:rPr>
          <w:rStyle w:val="CharStyle36"/>
          <w:b w:val="0"/>
          <w:bCs w:val="0"/>
        </w:rPr>
        <w:t>ze dne</w:t>
        <w:tab/>
        <w:t>čj</w:t>
        <w:tab/>
      </w:r>
    </w:p>
    <w:p>
      <w:pPr>
        <w:pStyle w:val="Style17"/>
        <w:tabs>
          <w:tab w:leader="dot" w:pos="8606" w:val="left"/>
        </w:tabs>
        <w:widowControl w:val="0"/>
        <w:keepNext w:val="0"/>
        <w:keepLines w:val="0"/>
        <w:shd w:val="clear" w:color="auto" w:fill="auto"/>
        <w:bidi w:val="0"/>
        <w:spacing w:before="0" w:after="365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vydal</w:t>
        <w:tab/>
      </w:r>
    </w:p>
    <w:p>
      <w:pPr>
        <w:pStyle w:val="Style19"/>
        <w:numPr>
          <w:ilvl w:val="0"/>
          <w:numId w:val="9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36"/>
          <w:b w:val="0"/>
          <w:bCs w:val="0"/>
        </w:rPr>
        <w:t>kteří jsou žadateli známi.</w:t>
      </w:r>
    </w:p>
    <w:tbl>
      <w:tblPr>
        <w:tblOverlap w:val="never"/>
        <w:tblLayout w:type="fixed"/>
        <w:jc w:val="center"/>
      </w:tblPr>
      <w:tblGrid>
        <w:gridCol w:w="3274"/>
        <w:gridCol w:w="5146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8"/>
              <w:framePr w:w="84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7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8"/>
              <w:framePr w:w="84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7"/>
              </w:rPr>
              <w:t>Adresa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4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5"/>
        <w:framePr w:w="84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6 se jejich seznam uvede v příloze žádosti:</w:t>
      </w:r>
      <w:r>
        <w:rPr>
          <w:rStyle w:val="CharStyle2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7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4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9" w:h="16834"/>
          <w:pgMar w:top="2095" w:left="2379" w:right="778" w:bottom="182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tabs>
          <w:tab w:leader="dot" w:pos="7800" w:val="left"/>
        </w:tabs>
        <w:widowControl w:val="0"/>
        <w:keepNext w:val="0"/>
        <w:keepLines w:val="0"/>
        <w:shd w:val="clear" w:color="auto" w:fill="auto"/>
        <w:bidi w:val="0"/>
        <w:spacing w:before="0" w:after="3140"/>
        <w:ind w:left="0" w:right="0" w:firstLine="0"/>
      </w:pPr>
      <w:r>
        <w:rPr>
          <w:rStyle w:val="CharStyle21"/>
        </w:rPr>
        <w:t xml:space="preserve">14. Orientační náklad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provedení stavby včetně technologie </w:t>
        <w:tab/>
        <w:t xml:space="preserve"> </w:t>
      </w:r>
      <w:r>
        <w:rPr>
          <w:rStyle w:val="CharStyle21"/>
        </w:rPr>
        <w:t>tis. Kč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0" w:right="0" w:firstLine="0"/>
        <w:sectPr>
          <w:headerReference w:type="even" r:id="rId8"/>
          <w:headerReference w:type="default" r:id="rId9"/>
          <w:headerReference w:type="first" r:id="rId10"/>
          <w:titlePg/>
          <w:pgSz w:w="11909" w:h="16834"/>
          <w:pgMar w:top="2095" w:left="2379" w:right="778" w:bottom="182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31"/>
        <w:ind w:left="380" w:right="0" w:hanging="38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(s doložkou nabytí právní moci) nebo veřejnoprávní smlouva územní rozhodnutí nahrazující anebo územní souhlas včetně celkové situace v měřítku katastrální mapy ověřené stavebním úřadem (pokud je pro daný případ stavebním zákonem vyžadován).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 xml:space="preserve">Souhlas obecného stavebního úřadu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příslušného k vydání územního rozhodnutí, který ověřuje dodržení jeho podmínek, ve smyslu § 15 odst. 2 zákona č. 183/2006 Sb., o územním plánování a stavebním řádu (stavební zákon), ve znění pozdějších předpisů. Jestliže se nevydává územní rozhodnutí ani územní souhlas, postačí závazné stanovisko orgánu územního plánování.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Není-li žadatel </w:t>
      </w:r>
      <w:r>
        <w:rPr>
          <w:rStyle w:val="CharStyle38"/>
        </w:rPr>
        <w:t xml:space="preserve">vlastníkem pozemku nebo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není-li </w:t>
      </w:r>
      <w:r>
        <w:rPr>
          <w:rStyle w:val="CharStyle38"/>
        </w:rPr>
        <w:t xml:space="preserve">oprávněn ze služebnosti nebo z práva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požadovaný stavební záměr nebo opatření uskutečnit, dokládá </w:t>
      </w:r>
      <w:r>
        <w:rPr>
          <w:rStyle w:val="CharStyle38"/>
        </w:rPr>
        <w:t xml:space="preserve">souhlas vlastníka pozemku nebo stavby.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Není-li žadatel o povolení změny dokončené stavby jejím vlastníkem, dokládá souhlas vlastníka stavby. K žádosti o povolení změny dokončené stavby v bytovém spoluvlastnictví vlastník jednotky dokládá souhlas společenství vlastníků jednotek, nebo správce, pokud společenství vlastníků jednotek nevzniklo.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 navrhovaným stavebním záměrem musí být vyznačen na situačním výkresu dokumentace, nebo projektové dokumentace.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hanging="380"/>
      </w:pPr>
      <w:r>
        <w:rPr>
          <w:rStyle w:val="CharStyle38"/>
        </w:rPr>
        <w:t xml:space="preserve">Projektová dokumentace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dvou vyhotoveních; není-li stavebním úřadem obecní úřad v místě stavby ve třech vyhotoveních; pokud stavebník není vlastníkem stavby, připojuje se jedno další vyhotovení projektové dokumentace. V případě, že se povolované vodní dílo týká hraničních vod, předloží se projektová dokumentace v počtu stanoveném v souladu s mezinárodními smlouvami, kterými je Česká republika vázána. Projektová dokumentace dále obsahuje: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</w:t>
      </w:r>
      <w:r>
        <w:rPr>
          <w:rStyle w:val="CharStyle38"/>
        </w:rPr>
        <w:t xml:space="preserve">o průtocích vody ve vodním toku podle druhu vodního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(M-denní průtoky, N- leté průtoky), pokud se žádost o povolení týká vodního toku,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780" w:right="0" w:firstLine="0"/>
      </w:pPr>
      <w:r>
        <w:rPr>
          <w:rStyle w:val="CharStyle38"/>
        </w:rPr>
        <w:t xml:space="preserve">číslo hydrogeologického rajónu a název a kód útvaru podzemních vod,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se žádost o stavební povolení týká vodního díla souvisejícího se zdrojem podzemních vod,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 název a kód útvaru povrchových vod, pokud se žádost o stavební povolení týká útvaru povrchových vod.</w:t>
      </w:r>
    </w:p>
    <w:p>
      <w:pPr>
        <w:pStyle w:val="Style39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plánu kontrolních prohlídek stavby.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 xml:space="preserve">Posudek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potřebě, popřípadě návrhu podmínek provádění </w:t>
      </w:r>
      <w:r>
        <w:rPr>
          <w:rStyle w:val="CharStyle38"/>
        </w:rPr>
        <w:t xml:space="preserve">technickobezpečnostního dohledu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vodním díle zpracovaný odborně způsobilou osobou pověřenou k tomu Ministerstvem zemědělství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 v případě žádosti o povolení nového nebo změnu dokončeného vodního díla podléhajícího technickobezpečnostnímu dohledu.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 xml:space="preserve">Povolení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vodoprávního úřadu </w:t>
      </w:r>
      <w:r>
        <w:rPr>
          <w:rStyle w:val="CharStyle38"/>
        </w:rPr>
        <w:t xml:space="preserve">k nakládání s vodami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podle § 8 vodního zákona, bylo-li vydáno k předmětné stavbě předem jiným vodoprávním úřadem než příslušným k vydání stavebního povolení.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 xml:space="preserve">Stanovisko správce povodí,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výjimkou případů, kdy se žádost o stavební povolení týká přeložky vodovodů nebo kanalizací, včetně ověření orientační polohy vodního díla v souřadnicích X, Y určených v souřadnicovém systému Jednotné trigonometrické sítě katastrální.</w:t>
      </w:r>
    </w:p>
    <w:p>
      <w:pPr>
        <w:pStyle w:val="Style28"/>
        <w:numPr>
          <w:ilvl w:val="0"/>
          <w:numId w:val="11"/>
        </w:numPr>
        <w:tabs>
          <w:tab w:pos="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80" w:right="0" w:hanging="380"/>
      </w:pPr>
      <w:r>
        <w:rPr>
          <w:rStyle w:val="CharStyle38"/>
        </w:rPr>
        <w:t xml:space="preserve">Vyjádření příslušného správce vodního toku,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se žádost o stavební povolení týká vodního díla souvisejícího s tímto vodním tokem.</w:t>
      </w:r>
    </w:p>
    <w:p>
      <w:pPr>
        <w:pStyle w:val="Style28"/>
        <w:numPr>
          <w:ilvl w:val="0"/>
          <w:numId w:val="11"/>
        </w:numPr>
        <w:tabs>
          <w:tab w:pos="3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rStyle w:val="CharStyle38"/>
        </w:rPr>
        <w:t>Vyjádření osoby s odbornou způsobilostí</w:t>
      </w:r>
      <w:r>
        <w:rPr>
          <w:rStyle w:val="CharStyle38"/>
          <w:vertAlign w:val="superscript"/>
        </w:rPr>
        <w:t>7</w:t>
      </w:r>
      <w:r>
        <w:rPr>
          <w:rStyle w:val="CharStyle38"/>
        </w:rPr>
        <w:t xml:space="preserve">’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stavební povolení, týkající se změny stavby studny nebo jiného vodního díla potřebného k odběru podzemních vod nebo vsakování srážkových vod, pokud tato změna může ovlivnit zdroje podzemní vody, které obsahuje:</w:t>
      </w:r>
    </w:p>
    <w:p>
      <w:pPr>
        <w:pStyle w:val="Style28"/>
        <w:numPr>
          <w:ilvl w:val="0"/>
          <w:numId w:val="13"/>
        </w:numPr>
        <w:tabs>
          <w:tab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zpracovatele příslušné projektové dokumentace,</w:t>
      </w:r>
    </w:p>
    <w:p>
      <w:pPr>
        <w:pStyle w:val="Style28"/>
        <w:numPr>
          <w:ilvl w:val="0"/>
          <w:numId w:val="13"/>
        </w:numPr>
        <w:tabs>
          <w:tab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popřípadě kolektoru, ve kterém se nachází podzemní vody,</w:t>
      </w:r>
    </w:p>
    <w:p>
      <w:pPr>
        <w:pStyle w:val="Style28"/>
        <w:numPr>
          <w:ilvl w:val="0"/>
          <w:numId w:val="13"/>
        </w:numPr>
        <w:tabs>
          <w:tab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vod, mocnosti zvodnělé vrstvy směru proudění podzemních vod,</w:t>
      </w:r>
    </w:p>
    <w:p>
      <w:pPr>
        <w:pStyle w:val="Style28"/>
        <w:numPr>
          <w:ilvl w:val="0"/>
          <w:numId w:val="13"/>
        </w:numPr>
        <w:tabs>
          <w:tab w:pos="9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9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nebo chráněných území vymezených zvláštními právními předpisy.</w:t>
      </w:r>
    </w:p>
    <w:p>
      <w:pPr>
        <w:pStyle w:val="Style28"/>
        <w:numPr>
          <w:ilvl w:val="0"/>
          <w:numId w:val="11"/>
        </w:numPr>
        <w:tabs>
          <w:tab w:pos="370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hanging="380"/>
      </w:pPr>
      <w:r>
        <w:rPr>
          <w:rStyle w:val="CharStyle38"/>
        </w:rPr>
        <w:t xml:space="preserve">Plná moc </w:t>
      </w:r>
      <w:r>
        <w:rPr>
          <w:lang w:val="cs-CZ" w:eastAsia="cs-CZ" w:bidi="cs-CZ"/>
          <w:w w:val="100"/>
          <w:spacing w:val="0"/>
          <w:color w:val="000000"/>
          <w:position w:val="0"/>
        </w:rPr>
        <w:t>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431"/>
        <w:ind w:left="300" w:right="0" w:hanging="30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Před vydáním stavebního povolení je nutné předložit </w:t>
      </w:r>
      <w:r>
        <w:rPr>
          <w:rStyle w:val="CharStyle38"/>
        </w:rPr>
        <w:t xml:space="preserve">doklad o úhradě správního poplatku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výši dané zákonem č. 634/2004 Sb., o správních poplatcích, ve znění pozdějších předpisů. Správní poplatek je třeba uhradit místně a věcně příslušnému vodoprávnímu úřadu.</w:t>
      </w:r>
    </w:p>
    <w:p>
      <w:pPr>
        <w:pStyle w:val="Style28"/>
        <w:numPr>
          <w:ilvl w:val="0"/>
          <w:numId w:val="15"/>
        </w:numPr>
        <w:tabs>
          <w:tab w:pos="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38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42"/>
        </w:rPr>
        <w:t>(§ 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38"/>
        </w:rPr>
        <w:t>hlavní (převažující).</w:t>
      </w:r>
    </w:p>
    <w:p>
      <w:pPr>
        <w:pStyle w:val="Style28"/>
        <w:numPr>
          <w:ilvl w:val="0"/>
          <w:numId w:val="15"/>
        </w:numPr>
        <w:tabs>
          <w:tab w:pos="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38"/>
        </w:rPr>
        <w:t xml:space="preserve">Účel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se uvede odpovídajícím způsobem podle číselníku Č11 Účel užití vodního díla uvedeného v příloze č. 4 vyhlášky č. 414/2013 Sb., o rozsahu a způsobu vedení evidence rozhodnutí, opatření obecné povahy, závazných stanovisek, souhlasů a ohlášení, k nimž byl dán souhlas podle vodního zákona, a částí rozhodnutí podle zákona o integrované prevenci (o vodoprávní evidenci).</w:t>
      </w:r>
    </w:p>
    <w:p>
      <w:pPr>
        <w:pStyle w:val="Style28"/>
        <w:numPr>
          <w:ilvl w:val="0"/>
          <w:numId w:val="15"/>
        </w:numPr>
        <w:tabs>
          <w:tab w:pos="2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hanging="300"/>
      </w:pPr>
      <w:r>
        <w:rPr>
          <w:rStyle w:val="CharStyle38"/>
        </w:rPr>
        <w:t xml:space="preserve">Souřadnice X, 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souřadnice X, Y označují polohopisnou složku v souřadnicovém systému S-JTSK. Vzhledem k tomu, že se jedná o definiční body specifické pro vodní díla, je nutné přijmout následující pravidla: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rStyle w:val="CharStyle38"/>
        </w:rPr>
        <w:t xml:space="preserve">objekty ležících mimo vodní tok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bod umístěný poblíž středu vodního díla (např. studna, vodní elektrárna, vodojem);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rStyle w:val="CharStyle38"/>
        </w:rPr>
        <w:t xml:space="preserve">objekty ležící napříč vodním tokem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</w:t>
      </w:r>
      <w:r>
        <w:rPr>
          <w:rStyle w:val="CharStyle38"/>
        </w:rPr>
        <w:t xml:space="preserve">napříč údolím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průsečík osy objektu a osy toku (osy údolí) (např. osa koruny hráze a osa vodního toku u vzdouvacích nebo akumulačních objektů, hrází odkališť); </w:t>
      </w:r>
      <w:r>
        <w:rPr>
          <w:rStyle w:val="CharStyle38"/>
        </w:rPr>
        <w:t xml:space="preserve">liniové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bod umístěný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rStyle w:val="CharStyle43"/>
          <w:b w:val="0"/>
          <w:bCs w:val="0"/>
        </w:rPr>
        <w:t xml:space="preserve">o </w:t>
      </w:r>
      <w:r>
        <w:rPr>
          <w:rStyle w:val="CharStyle38"/>
        </w:rPr>
        <w:t xml:space="preserve">na začátku vodního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(např. vodních děl </w:t>
      </w:r>
      <w:r>
        <w:rPr>
          <w:rStyle w:val="CharStyle43"/>
          <w:b w:val="0"/>
          <w:bCs w:val="0"/>
        </w:rPr>
        <w:t xml:space="preserve">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staveb kanalizačních stok a kanalizačních objektů včetně čistíren odpadních vod), který je nejvzdálenějším bodem od místa vypouštění, resp. výtoku odpadní (dešťové) vody, </w:t>
      </w:r>
      <w:r>
        <w:rPr>
          <w:rStyle w:val="CharStyle43"/>
          <w:b w:val="0"/>
          <w:bCs w:val="0"/>
        </w:rPr>
        <w:t xml:space="preserve">o </w:t>
      </w:r>
      <w:r>
        <w:rPr>
          <w:rStyle w:val="CharStyle38"/>
        </w:rPr>
        <w:t xml:space="preserve">na konci vodního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(např. u vodních děl - staveb vodovodních řadů a vodárenských objektů včetně úpraven vody), který je nejvzdálenějším bodem od místa odběru vody, resp. vtoku vody do vodovodu;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rStyle w:val="CharStyle38"/>
        </w:rPr>
        <w:t xml:space="preserve">soubory objektů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bod umístěný poblíž středu území vzniklého ohraničením rozptýlených objektů;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0" w:firstLine="0"/>
      </w:pPr>
      <w:r>
        <w:rPr>
          <w:rStyle w:val="CharStyle38"/>
        </w:rPr>
        <w:t xml:space="preserve">místo vztažené k břehové čáře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průsečík osy objektu a břehové čáry (místo odběru, vypouštění).</w:t>
      </w:r>
    </w:p>
    <w:p>
      <w:pPr>
        <w:pStyle w:val="Style28"/>
        <w:numPr>
          <w:ilvl w:val="0"/>
          <w:numId w:val="15"/>
        </w:numPr>
        <w:tabs>
          <w:tab w:pos="2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38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28"/>
        <w:tabs>
          <w:tab w:pos="271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S)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§ 61 odst. 9 vodního zákona.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38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sectPr>
      <w:pgSz w:w="11909" w:h="16834"/>
      <w:pgMar w:top="2215" w:left="2370" w:right="836" w:bottom="151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35pt;margin-top:71.45pt;width:430.8pt;height:9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2778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8pt;margin-top:85.25pt;width:451.9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2.7pt;margin-top:71.95pt;width:431.05pt;height:8.9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2779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9pt;margin-top:85.35pt;width:452.4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2.2pt;margin-top:72.25pt;width:431.5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3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2777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65pt;margin-top:85.7pt;width:452.1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55pt;margin-top:72.15pt;width:430.8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2782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25pt;margin-top:85.95pt;width:451.7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1.85pt;margin-top:72.15pt;width:431.05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87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2781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3pt;margin-top:85.55pt;width:453.1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2.8pt;margin-top:72.15pt;width:430.55pt;height:9.3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2780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25pt;margin-top:86.05pt;width:451.7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8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2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2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0">
    <w:name w:val="Char Style 20"/>
    <w:basedOn w:val="DefaultParagraphFont"/>
    <w:link w:val="Style1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1">
    <w:name w:val="Char Style 21"/>
    <w:semiHidden/>
    <w:unhideWhenUsed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Char Style 23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4">
    <w:name w:val="Char Style 24"/>
    <w:semiHidden/>
    <w:unhideWhenUsed/>
    <w:basedOn w:val="CharStyle23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">
    <w:name w:val="Char Style 26"/>
    <w:basedOn w:val="DefaultParagraphFont"/>
    <w:link w:val="Style25"/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7">
    <w:name w:val="Char Style 27"/>
    <w:semiHidden/>
    <w:unhideWhenUsed/>
    <w:basedOn w:val="CharStyle2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9">
    <w:name w:val="Char Style 29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30">
    <w:name w:val="Char Style 30"/>
    <w:semiHidden/>
    <w:unhideWhenUsed/>
    <w:basedOn w:val="CharStyle29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31">
    <w:name w:val="Char Style 31"/>
    <w:semiHidden/>
    <w:unhideWhenUsed/>
    <w:basedOn w:val="CharStyle16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4">
    <w:name w:val="Char Style 34"/>
    <w:semiHidden/>
    <w:unhideWhenUsed/>
    <w:basedOn w:val="CharStyle33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3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2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Char Style 37"/>
    <w:semiHidden/>
    <w:unhideWhenUsed/>
    <w:basedOn w:val="CharStyle2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8">
    <w:name w:val="Char Style 38"/>
    <w:semiHidden/>
    <w:unhideWhenUsed/>
    <w:basedOn w:val="CharStyle2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2">
    <w:name w:val="Char Style 42"/>
    <w:semiHidden/>
    <w:unhideWhenUsed/>
    <w:basedOn w:val="CharStyle29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3">
    <w:name w:val="Char Style 43"/>
    <w:semiHidden/>
    <w:unhideWhenUsed/>
    <w:basedOn w:val="CharStyle29"/>
    <w:rPr>
      <w:lang w:val="cs-CZ" w:eastAsia="cs-CZ" w:bidi="cs-CZ"/>
      <w:b/>
      <w:bCs/>
      <w:sz w:val="17"/>
      <w:szCs w:val="17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48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3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480" w:after="1720" w:line="112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  <w:spacing w:val="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1720" w:after="7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both"/>
      <w:outlineLvl w:val="0"/>
      <w:spacing w:before="780" w:after="120" w:line="334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outlineLvl w:val="1"/>
      <w:spacing w:before="120" w:after="78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jc w:val="both"/>
      <w:spacing w:before="120" w:after="480" w:line="23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after="960" w:line="234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pPr>
      <w:widowControl w:val="0"/>
      <w:shd w:val="clear" w:color="auto" w:fill="FFFFFF"/>
      <w:spacing w:line="234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5">
    <w:name w:val="Style 25"/>
    <w:basedOn w:val="Normal"/>
    <w:link w:val="CharStyle26"/>
    <w:qFormat/>
    <w:pPr>
      <w:widowControl w:val="0"/>
      <w:shd w:val="clear" w:color="auto" w:fill="FFFFFF"/>
      <w:spacing w:line="212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8">
    <w:name w:val="Style 28"/>
    <w:basedOn w:val="Normal"/>
    <w:link w:val="CharStyle29"/>
    <w:qFormat/>
    <w:pPr>
      <w:widowControl w:val="0"/>
      <w:shd w:val="clear" w:color="auto" w:fill="FFFFFF"/>
      <w:jc w:val="both"/>
      <w:spacing w:before="220" w:line="221" w:lineRule="exact"/>
      <w:ind w:hanging="4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spacing w:before="460" w:after="140" w:line="234" w:lineRule="exact"/>
      <w:ind w:hanging="440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jc w:val="both"/>
      <w:spacing w:line="212" w:lineRule="exact"/>
      <w:ind w:hanging="380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